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42" w:rsidRDefault="00824C42" w:rsidP="00824C42">
      <w:bookmarkStart w:id="0" w:name="_GoBack"/>
      <w:bookmarkEnd w:id="0"/>
      <w:r>
        <w:rPr>
          <w:rFonts w:hint="eastAsia"/>
        </w:rPr>
        <w:t xml:space="preserve">　　　　　　　　　　　　　　　　　　　　　　　　　　　　　　　　</w:t>
      </w:r>
      <w:r>
        <w:rPr>
          <w:rFonts w:hint="eastAsia"/>
        </w:rPr>
        <w:t>2018</w:t>
      </w:r>
      <w:r>
        <w:rPr>
          <w:rFonts w:hint="eastAsia"/>
        </w:rPr>
        <w:t>年</w:t>
      </w:r>
      <w:r>
        <w:rPr>
          <w:rFonts w:hint="eastAsia"/>
        </w:rPr>
        <w:t>7</w:t>
      </w:r>
      <w:r>
        <w:rPr>
          <w:rFonts w:hint="eastAsia"/>
        </w:rPr>
        <w:t>月</w:t>
      </w:r>
      <w:r>
        <w:rPr>
          <w:rFonts w:hint="eastAsia"/>
        </w:rPr>
        <w:t>25</w:t>
      </w:r>
      <w:r>
        <w:rPr>
          <w:rFonts w:hint="eastAsia"/>
        </w:rPr>
        <w:t>日</w:t>
      </w:r>
    </w:p>
    <w:p w:rsidR="00824C42" w:rsidRDefault="00824C42" w:rsidP="00824C42">
      <w:r>
        <w:rPr>
          <w:rFonts w:hint="eastAsia"/>
        </w:rPr>
        <w:t xml:space="preserve">　　　　　　　　　　　　　　　　　　　　　　　　　　　　　　　　弁護士　松田政行</w:t>
      </w:r>
    </w:p>
    <w:p w:rsidR="00824C42" w:rsidRDefault="00824C42" w:rsidP="00824C42"/>
    <w:p w:rsidR="00824C42" w:rsidRPr="00BA3A00" w:rsidRDefault="00824C42" w:rsidP="00824C42">
      <w:pPr>
        <w:jc w:val="center"/>
        <w:rPr>
          <w:b/>
        </w:rPr>
      </w:pPr>
      <w:r w:rsidRPr="00BA3A00">
        <w:rPr>
          <w:rFonts w:hint="eastAsia"/>
          <w:b/>
        </w:rPr>
        <w:t>ＪＥＰＡ著作権セミナ－</w:t>
      </w:r>
    </w:p>
    <w:p w:rsidR="00824C42" w:rsidRPr="00BA3A00" w:rsidRDefault="00824C42" w:rsidP="00824C42">
      <w:pPr>
        <w:jc w:val="center"/>
        <w:rPr>
          <w:b/>
        </w:rPr>
      </w:pPr>
      <w:r w:rsidRPr="00BA3A00">
        <w:rPr>
          <w:rFonts w:hint="eastAsia"/>
          <w:b/>
        </w:rPr>
        <w:t>平成</w:t>
      </w:r>
      <w:r w:rsidRPr="00BA3A00">
        <w:rPr>
          <w:rFonts w:hint="eastAsia"/>
          <w:b/>
        </w:rPr>
        <w:t>30</w:t>
      </w:r>
      <w:r w:rsidRPr="00BA3A00">
        <w:rPr>
          <w:rFonts w:hint="eastAsia"/>
          <w:b/>
        </w:rPr>
        <w:t>年著作権法改正・柔軟な権利制限規定概要と電子出版業務</w:t>
      </w:r>
    </w:p>
    <w:p w:rsidR="00824C42" w:rsidRPr="00824C42" w:rsidRDefault="00824C42" w:rsidP="00824C42"/>
    <w:p w:rsidR="00824C42" w:rsidRPr="00824C42" w:rsidRDefault="00824C42" w:rsidP="00824C42">
      <w:pPr>
        <w:rPr>
          <w:b/>
        </w:rPr>
      </w:pPr>
      <w:r w:rsidRPr="00824C42">
        <w:rPr>
          <w:rFonts w:hint="eastAsia"/>
          <w:b/>
        </w:rPr>
        <w:t>1</w:t>
      </w:r>
      <w:r w:rsidRPr="00824C42">
        <w:rPr>
          <w:rFonts w:hint="eastAsia"/>
          <w:b/>
        </w:rPr>
        <w:t xml:space="preserve">　平成</w:t>
      </w:r>
      <w:r w:rsidRPr="00824C42">
        <w:rPr>
          <w:rFonts w:hint="eastAsia"/>
          <w:b/>
        </w:rPr>
        <w:t>30</w:t>
      </w:r>
      <w:r w:rsidRPr="00824C42">
        <w:rPr>
          <w:rFonts w:hint="eastAsia"/>
          <w:b/>
        </w:rPr>
        <w:t>年改正の概要</w:t>
      </w:r>
    </w:p>
    <w:p w:rsidR="00824C42" w:rsidRPr="00BA3A00" w:rsidRDefault="00824C42" w:rsidP="00824C42">
      <w:pPr>
        <w:rPr>
          <w:b/>
        </w:rPr>
      </w:pPr>
      <w:r w:rsidRPr="00BA3A00">
        <w:rPr>
          <w:rFonts w:hint="eastAsia"/>
          <w:b/>
        </w:rPr>
        <w:t>（１）３０条の４</w:t>
      </w:r>
      <w:r w:rsidRPr="00BA3A00">
        <w:rPr>
          <w:rFonts w:hint="eastAsia"/>
          <w:b/>
        </w:rPr>
        <w:tab/>
      </w:r>
    </w:p>
    <w:p w:rsidR="00824C42" w:rsidRPr="00824C42" w:rsidRDefault="00824C42" w:rsidP="00824C42">
      <w:r w:rsidRPr="00824C42">
        <w:rPr>
          <w:rFonts w:hint="eastAsia"/>
        </w:rPr>
        <w:t>①　著作物の利用に係る技術開発、実用化の試験のための利用</w:t>
      </w:r>
    </w:p>
    <w:p w:rsidR="00824C42" w:rsidRPr="00824C42" w:rsidRDefault="00824C42" w:rsidP="00824C42">
      <w:r w:rsidRPr="00824C42">
        <w:rPr>
          <w:rFonts w:hint="eastAsia"/>
        </w:rPr>
        <w:t>②　電子計算機による情報解析のための複製等</w:t>
      </w:r>
    </w:p>
    <w:p w:rsidR="00824C42" w:rsidRPr="00824C42" w:rsidRDefault="00824C42" w:rsidP="00824C42">
      <w:r w:rsidRPr="00824C42">
        <w:rPr>
          <w:rFonts w:hint="eastAsia"/>
        </w:rPr>
        <w:t>③　サイバーセキュリティ確保のためのソフトウェアの調査解析</w:t>
      </w:r>
    </w:p>
    <w:p w:rsidR="00824C42" w:rsidRPr="00824C42" w:rsidRDefault="00824C42" w:rsidP="00BA3A00">
      <w:pPr>
        <w:ind w:left="210" w:hangingChars="100" w:hanging="210"/>
      </w:pPr>
      <w:r w:rsidRPr="00824C42">
        <w:rPr>
          <w:rFonts w:hint="eastAsia"/>
        </w:rPr>
        <w:t>④　①～③と同様のコンセプトに基づく利用として、ＡＩ開発のためのディープラーニングによる解析や、リバース・エンジニアリングなど</w:t>
      </w:r>
    </w:p>
    <w:p w:rsidR="00824C42" w:rsidRPr="00BA3A00" w:rsidRDefault="00824C42" w:rsidP="00824C42">
      <w:pPr>
        <w:rPr>
          <w:b/>
        </w:rPr>
      </w:pPr>
      <w:r w:rsidRPr="00BA3A00">
        <w:rPr>
          <w:rFonts w:hint="eastAsia"/>
          <w:b/>
        </w:rPr>
        <w:t>（２）４７条の４</w:t>
      </w:r>
      <w:r w:rsidRPr="00BA3A00">
        <w:rPr>
          <w:rFonts w:hint="eastAsia"/>
          <w:b/>
        </w:rPr>
        <w:tab/>
      </w:r>
    </w:p>
    <w:p w:rsidR="00824C42" w:rsidRPr="00824C42" w:rsidRDefault="00824C42" w:rsidP="00824C42">
      <w:r w:rsidRPr="00824C42">
        <w:rPr>
          <w:rFonts w:hint="eastAsia"/>
        </w:rPr>
        <w:t>⑤　電子計算機におけるキャッシュのための複製</w:t>
      </w:r>
    </w:p>
    <w:p w:rsidR="00824C42" w:rsidRPr="00824C42" w:rsidRDefault="00824C42" w:rsidP="00824C42">
      <w:r w:rsidRPr="00824C42">
        <w:rPr>
          <w:rFonts w:hint="eastAsia"/>
        </w:rPr>
        <w:t>⑥　サーバー管理者による送信障害防止のための複製</w:t>
      </w:r>
    </w:p>
    <w:p w:rsidR="00824C42" w:rsidRPr="00824C42" w:rsidRDefault="00824C42" w:rsidP="00824C42">
      <w:r w:rsidRPr="00824C42">
        <w:rPr>
          <w:rFonts w:hint="eastAsia"/>
        </w:rPr>
        <w:t>⑦　ネットワークでの情報提供準備に必要な情報処理のための複製等</w:t>
      </w:r>
    </w:p>
    <w:p w:rsidR="00824C42" w:rsidRPr="00824C42" w:rsidRDefault="00824C42" w:rsidP="00824C42">
      <w:r w:rsidRPr="00824C42">
        <w:rPr>
          <w:rFonts w:hint="eastAsia"/>
        </w:rPr>
        <w:t>⑧　複製機器の保守・修理又は交換のための一時的複製等</w:t>
      </w:r>
    </w:p>
    <w:p w:rsidR="00824C42" w:rsidRPr="00824C42" w:rsidRDefault="00824C42" w:rsidP="00824C42">
      <w:r w:rsidRPr="00824C42">
        <w:rPr>
          <w:rFonts w:hint="eastAsia"/>
        </w:rPr>
        <w:t>⑨　サーバ－の滅失等に備えたバックアップのための複製</w:t>
      </w:r>
    </w:p>
    <w:p w:rsidR="00824C42" w:rsidRPr="00824C42" w:rsidRDefault="00824C42" w:rsidP="00BA3A00">
      <w:pPr>
        <w:ind w:left="210" w:hangingChars="100" w:hanging="210"/>
      </w:pPr>
      <w:r w:rsidRPr="00824C42">
        <w:rPr>
          <w:rFonts w:hint="eastAsia"/>
        </w:rPr>
        <w:t>⑩　⑤～⑨と同様のコンセプトとして、当該著作物の電子計算機における利用を円滑又は効率的に行うた目の利用や、当該著作物の電子計算機における利用を行うことができる状態の回復・維持のための利用</w:t>
      </w:r>
    </w:p>
    <w:p w:rsidR="00824C42" w:rsidRPr="00BA3A00" w:rsidRDefault="00824C42" w:rsidP="00824C42">
      <w:pPr>
        <w:rPr>
          <w:b/>
        </w:rPr>
      </w:pPr>
      <w:r w:rsidRPr="00BA3A00">
        <w:rPr>
          <w:rFonts w:hint="eastAsia"/>
          <w:b/>
        </w:rPr>
        <w:t>（３）４７条の５</w:t>
      </w:r>
      <w:r w:rsidRPr="00BA3A00">
        <w:rPr>
          <w:rFonts w:hint="eastAsia"/>
          <w:b/>
        </w:rPr>
        <w:tab/>
      </w:r>
    </w:p>
    <w:p w:rsidR="00824C42" w:rsidRPr="00824C42" w:rsidRDefault="00824C42" w:rsidP="00824C42">
      <w:r w:rsidRPr="00824C42">
        <w:rPr>
          <w:rFonts w:hint="eastAsia"/>
        </w:rPr>
        <w:t>⑪　所在検索サービス</w:t>
      </w:r>
    </w:p>
    <w:p w:rsidR="00824C42" w:rsidRPr="00824C42" w:rsidRDefault="00824C42" w:rsidP="00824C42">
      <w:r w:rsidRPr="00824C42">
        <w:rPr>
          <w:rFonts w:hint="eastAsia"/>
        </w:rPr>
        <w:t>⑫　情報解析サービス</w:t>
      </w:r>
    </w:p>
    <w:p w:rsidR="00824C42" w:rsidRPr="00824C42" w:rsidRDefault="00824C42" w:rsidP="00BA3A00">
      <w:pPr>
        <w:ind w:left="210" w:hangingChars="100" w:hanging="210"/>
      </w:pPr>
      <w:r w:rsidRPr="00824C42">
        <w:rPr>
          <w:rFonts w:hint="eastAsia"/>
        </w:rPr>
        <w:t>⑬　⑪及び⑫のほか、電子計算機による情報処理により新たな知見・情報を創出する行為</w:t>
      </w:r>
      <w:r w:rsidR="00BA3A00">
        <w:rPr>
          <w:rFonts w:hint="eastAsia"/>
        </w:rPr>
        <w:t>で</w:t>
      </w:r>
      <w:r w:rsidRPr="00824C42">
        <w:rPr>
          <w:rFonts w:hint="eastAsia"/>
        </w:rPr>
        <w:t>あって国民生活の利用に寄与するものとして政令で定めるもの</w:t>
      </w:r>
    </w:p>
    <w:p w:rsidR="00824C42" w:rsidRPr="00824C42" w:rsidRDefault="00824C42" w:rsidP="00824C42"/>
    <w:p w:rsidR="00824C42" w:rsidRPr="00824C42" w:rsidRDefault="00824C42" w:rsidP="00824C42">
      <w:pPr>
        <w:rPr>
          <w:b/>
        </w:rPr>
      </w:pPr>
      <w:r w:rsidRPr="00824C42">
        <w:rPr>
          <w:rFonts w:hint="eastAsia"/>
          <w:b/>
        </w:rPr>
        <w:t>2</w:t>
      </w:r>
      <w:r w:rsidRPr="00824C42">
        <w:rPr>
          <w:rFonts w:hint="eastAsia"/>
          <w:b/>
        </w:rPr>
        <w:t xml:space="preserve">　ソフトローによる新秩序</w:t>
      </w:r>
    </w:p>
    <w:p w:rsidR="00824C42" w:rsidRPr="00BA3A00" w:rsidRDefault="00824C42" w:rsidP="00824C42">
      <w:pPr>
        <w:rPr>
          <w:b/>
        </w:rPr>
      </w:pPr>
      <w:r w:rsidRPr="00BA3A00">
        <w:rPr>
          <w:rFonts w:hint="eastAsia"/>
          <w:b/>
        </w:rPr>
        <w:t>（１）ソフトロー基本報告</w:t>
      </w:r>
    </w:p>
    <w:p w:rsidR="00824C42" w:rsidRDefault="00824C42" w:rsidP="00BA3A00">
      <w:pPr>
        <w:ind w:firstLineChars="100" w:firstLine="210"/>
      </w:pPr>
      <w:r w:rsidRPr="00824C42">
        <w:rPr>
          <w:rFonts w:hint="eastAsia"/>
        </w:rPr>
        <w:t>この改正に伴い政府、国会、文化審議会著作権分科会は、柔軟な権利制限規定の導入に当たっては、ガイドラインを策定するなどの方法を講じることが必要であるという意見を示している。柔軟な権利制限規定の適用限界は司法判断によるとしても、ある程度、新規ビジネスを生じさせる程度に予見性可能性を示すことが求められているということである。文化庁は、ＣＲＩＣ内に委員会を設けこの調査研究に着手した。本年</w:t>
      </w:r>
      <w:r w:rsidRPr="00824C42">
        <w:rPr>
          <w:rFonts w:hint="eastAsia"/>
        </w:rPr>
        <w:t>3</w:t>
      </w:r>
      <w:r w:rsidRPr="00824C42">
        <w:rPr>
          <w:rFonts w:hint="eastAsia"/>
        </w:rPr>
        <w:t>月『著作権分野におけるソフトローに関する調査研究報告書』が公表されている。</w:t>
      </w:r>
      <w:r w:rsidR="00BA3A00">
        <w:rPr>
          <w:rFonts w:hint="eastAsia"/>
        </w:rPr>
        <w:t>さらに、文化庁委嘱事業</w:t>
      </w:r>
      <w:r w:rsidR="00BA3A00">
        <w:rPr>
          <w:rFonts w:hint="eastAsia"/>
        </w:rPr>
        <w:lastRenderedPageBreak/>
        <w:t>としてＣＲＩＣ内に委員会が設けられ本年</w:t>
      </w:r>
      <w:r w:rsidR="00BA3A00">
        <w:rPr>
          <w:rFonts w:hint="eastAsia"/>
        </w:rPr>
        <w:t>8</w:t>
      </w:r>
      <w:r w:rsidR="00BA3A00">
        <w:rPr>
          <w:rFonts w:hint="eastAsia"/>
        </w:rPr>
        <w:t>月から書籍所在検索サービスに係る</w:t>
      </w:r>
      <w:r w:rsidRPr="00824C42">
        <w:rPr>
          <w:rFonts w:hint="eastAsia"/>
        </w:rPr>
        <w:t>ガイドライン</w:t>
      </w:r>
      <w:r w:rsidR="00BA3A00">
        <w:rPr>
          <w:rFonts w:hint="eastAsia"/>
        </w:rPr>
        <w:t>に関する調査研究事業が開始される（報告書提出平成</w:t>
      </w:r>
      <w:r w:rsidR="00BA3A00">
        <w:rPr>
          <w:rFonts w:hint="eastAsia"/>
        </w:rPr>
        <w:t>30</w:t>
      </w:r>
      <w:r w:rsidR="00BA3A00">
        <w:rPr>
          <w:rFonts w:hint="eastAsia"/>
        </w:rPr>
        <w:t>年</w:t>
      </w:r>
      <w:r w:rsidR="00BA3A00">
        <w:rPr>
          <w:rFonts w:hint="eastAsia"/>
        </w:rPr>
        <w:t>12</w:t>
      </w:r>
      <w:r w:rsidR="00BA3A00">
        <w:rPr>
          <w:rFonts w:hint="eastAsia"/>
        </w:rPr>
        <w:t>月予定）。</w:t>
      </w:r>
    </w:p>
    <w:p w:rsidR="00BA3A00" w:rsidRPr="00824C42" w:rsidRDefault="00BA3A00" w:rsidP="00BA3A00">
      <w:pPr>
        <w:ind w:firstLineChars="100" w:firstLine="210"/>
      </w:pPr>
    </w:p>
    <w:p w:rsidR="00824C42" w:rsidRPr="00BA3A00" w:rsidRDefault="00824C42" w:rsidP="00824C42">
      <w:pPr>
        <w:rPr>
          <w:b/>
        </w:rPr>
      </w:pPr>
      <w:r w:rsidRPr="00BA3A00">
        <w:rPr>
          <w:rFonts w:hint="eastAsia"/>
          <w:b/>
        </w:rPr>
        <w:t>（２）書籍所在情報検索サービスの適法性の限界</w:t>
      </w:r>
    </w:p>
    <w:p w:rsidR="00824C42" w:rsidRPr="00824C42" w:rsidRDefault="00824C42" w:rsidP="00FE6EBA">
      <w:pPr>
        <w:ind w:firstLineChars="100" w:firstLine="210"/>
      </w:pPr>
      <w:r w:rsidRPr="00824C42">
        <w:rPr>
          <w:rFonts w:hint="eastAsia"/>
        </w:rPr>
        <w:t>文化庁は、</w:t>
      </w:r>
      <w:r w:rsidR="00FE6EBA">
        <w:rPr>
          <w:rFonts w:hint="eastAsia"/>
        </w:rPr>
        <w:t>上記の</w:t>
      </w:r>
      <w:r w:rsidRPr="00824C42">
        <w:rPr>
          <w:rFonts w:hint="eastAsia"/>
        </w:rPr>
        <w:t>ＣＲＩＣ内委員会において、さらに具体的なソフトローの策定を検討することになる。書籍所在情報を検索する目的で書籍データベースを構築することまで許されるところ（前掲⑪）、この検索結果の出力（複製、翻案）に関する指針が求められるからである。この方向性の解説を試みることとして、米国</w:t>
      </w:r>
      <w:r w:rsidRPr="00824C42">
        <w:rPr>
          <w:rFonts w:hint="eastAsia"/>
        </w:rPr>
        <w:t>Google Books</w:t>
      </w:r>
      <w:r w:rsidRPr="00824C42">
        <w:rPr>
          <w:rFonts w:hint="eastAsia"/>
        </w:rPr>
        <w:t>裁判で示された連邦高裁が示す許容範囲を検討する（参考文献　著作権政策フォーラム「柔軟な権利制限規定として導入される書籍所在情報検索サービスの適法性の限界ー</w:t>
      </w:r>
      <w:r w:rsidRPr="00824C42">
        <w:rPr>
          <w:rFonts w:hint="eastAsia"/>
        </w:rPr>
        <w:t>Google Books</w:t>
      </w:r>
      <w:r w:rsidRPr="00824C42">
        <w:rPr>
          <w:rFonts w:hint="eastAsia"/>
        </w:rPr>
        <w:t>におけるスニペット等表示を検証する」</w:t>
      </w:r>
      <w:r w:rsidRPr="00824C42">
        <w:rPr>
          <w:rFonts w:hint="eastAsia"/>
        </w:rPr>
        <w:t>NBL1119</w:t>
      </w:r>
      <w:r w:rsidRPr="00824C42">
        <w:rPr>
          <w:rFonts w:hint="eastAsia"/>
        </w:rPr>
        <w:t>号</w:t>
      </w:r>
      <w:r w:rsidRPr="00824C42">
        <w:rPr>
          <w:rFonts w:hint="eastAsia"/>
        </w:rPr>
        <w:t>44</w:t>
      </w:r>
      <w:r w:rsidRPr="00824C42">
        <w:rPr>
          <w:rFonts w:hint="eastAsia"/>
        </w:rPr>
        <w:t>頁）。</w:t>
      </w:r>
    </w:p>
    <w:sectPr w:rsidR="00824C42" w:rsidRPr="00824C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88" w:rsidRDefault="00E40588" w:rsidP="00E40588">
      <w:r>
        <w:separator/>
      </w:r>
    </w:p>
  </w:endnote>
  <w:endnote w:type="continuationSeparator" w:id="0">
    <w:p w:rsidR="00E40588" w:rsidRDefault="00E40588" w:rsidP="00E4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88" w:rsidRDefault="00E40588" w:rsidP="00E40588">
      <w:r>
        <w:separator/>
      </w:r>
    </w:p>
  </w:footnote>
  <w:footnote w:type="continuationSeparator" w:id="0">
    <w:p w:rsidR="00E40588" w:rsidRDefault="00E40588" w:rsidP="00E40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42"/>
    <w:rsid w:val="00824C42"/>
    <w:rsid w:val="00BA3A00"/>
    <w:rsid w:val="00BC094F"/>
    <w:rsid w:val="00E40588"/>
    <w:rsid w:val="00FE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C42"/>
  </w:style>
  <w:style w:type="character" w:customStyle="1" w:styleId="a4">
    <w:name w:val="日付 (文字)"/>
    <w:basedOn w:val="a0"/>
    <w:link w:val="a3"/>
    <w:uiPriority w:val="99"/>
    <w:semiHidden/>
    <w:rsid w:val="00824C42"/>
  </w:style>
  <w:style w:type="paragraph" w:styleId="a5">
    <w:name w:val="header"/>
    <w:basedOn w:val="a"/>
    <w:link w:val="a6"/>
    <w:uiPriority w:val="99"/>
    <w:unhideWhenUsed/>
    <w:rsid w:val="00E40588"/>
    <w:pPr>
      <w:tabs>
        <w:tab w:val="center" w:pos="4252"/>
        <w:tab w:val="right" w:pos="8504"/>
      </w:tabs>
      <w:snapToGrid w:val="0"/>
    </w:pPr>
  </w:style>
  <w:style w:type="character" w:customStyle="1" w:styleId="a6">
    <w:name w:val="ヘッダー (文字)"/>
    <w:basedOn w:val="a0"/>
    <w:link w:val="a5"/>
    <w:uiPriority w:val="99"/>
    <w:rsid w:val="00E40588"/>
  </w:style>
  <w:style w:type="paragraph" w:styleId="a7">
    <w:name w:val="footer"/>
    <w:basedOn w:val="a"/>
    <w:link w:val="a8"/>
    <w:uiPriority w:val="99"/>
    <w:unhideWhenUsed/>
    <w:rsid w:val="00E40588"/>
    <w:pPr>
      <w:tabs>
        <w:tab w:val="center" w:pos="4252"/>
        <w:tab w:val="right" w:pos="8504"/>
      </w:tabs>
      <w:snapToGrid w:val="0"/>
    </w:pPr>
  </w:style>
  <w:style w:type="character" w:customStyle="1" w:styleId="a8">
    <w:name w:val="フッター (文字)"/>
    <w:basedOn w:val="a0"/>
    <w:link w:val="a7"/>
    <w:uiPriority w:val="99"/>
    <w:rsid w:val="00E40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C42"/>
  </w:style>
  <w:style w:type="character" w:customStyle="1" w:styleId="a4">
    <w:name w:val="日付 (文字)"/>
    <w:basedOn w:val="a0"/>
    <w:link w:val="a3"/>
    <w:uiPriority w:val="99"/>
    <w:semiHidden/>
    <w:rsid w:val="00824C42"/>
  </w:style>
  <w:style w:type="paragraph" w:styleId="a5">
    <w:name w:val="header"/>
    <w:basedOn w:val="a"/>
    <w:link w:val="a6"/>
    <w:uiPriority w:val="99"/>
    <w:unhideWhenUsed/>
    <w:rsid w:val="00E40588"/>
    <w:pPr>
      <w:tabs>
        <w:tab w:val="center" w:pos="4252"/>
        <w:tab w:val="right" w:pos="8504"/>
      </w:tabs>
      <w:snapToGrid w:val="0"/>
    </w:pPr>
  </w:style>
  <w:style w:type="character" w:customStyle="1" w:styleId="a6">
    <w:name w:val="ヘッダー (文字)"/>
    <w:basedOn w:val="a0"/>
    <w:link w:val="a5"/>
    <w:uiPriority w:val="99"/>
    <w:rsid w:val="00E40588"/>
  </w:style>
  <w:style w:type="paragraph" w:styleId="a7">
    <w:name w:val="footer"/>
    <w:basedOn w:val="a"/>
    <w:link w:val="a8"/>
    <w:uiPriority w:val="99"/>
    <w:unhideWhenUsed/>
    <w:rsid w:val="00E40588"/>
    <w:pPr>
      <w:tabs>
        <w:tab w:val="center" w:pos="4252"/>
        <w:tab w:val="right" w:pos="8504"/>
      </w:tabs>
      <w:snapToGrid w:val="0"/>
    </w:pPr>
  </w:style>
  <w:style w:type="character" w:customStyle="1" w:styleId="a8">
    <w:name w:val="フッター (文字)"/>
    <w:basedOn w:val="a0"/>
    <w:link w:val="a7"/>
    <w:uiPriority w:val="99"/>
    <w:rsid w:val="00E4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